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2024年剑河县中心城区基准地价表</w:t>
      </w:r>
    </w:p>
    <w:tbl>
      <w:tblPr>
        <w:tblStyle w:val="3"/>
        <w:tblpPr w:leftFromText="180" w:rightFromText="180" w:vertAnchor="text" w:horzAnchor="page" w:tblpXSpec="center" w:tblpY="300"/>
        <w:tblOverlap w:val="never"/>
        <w:tblW w:w="83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796"/>
        <w:gridCol w:w="770"/>
        <w:gridCol w:w="796"/>
        <w:gridCol w:w="707"/>
        <w:gridCol w:w="733"/>
        <w:gridCol w:w="854"/>
        <w:gridCol w:w="1282"/>
        <w:gridCol w:w="13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vMerge w:val="restart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土地级别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商服用地</w:t>
            </w:r>
          </w:p>
        </w:tc>
        <w:tc>
          <w:tcPr>
            <w:tcW w:w="1503" w:type="dxa"/>
            <w:gridSpan w:val="2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住宅用地</w:t>
            </w:r>
          </w:p>
        </w:tc>
        <w:tc>
          <w:tcPr>
            <w:tcW w:w="1587" w:type="dxa"/>
            <w:gridSpan w:val="2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工业用地</w:t>
            </w:r>
          </w:p>
        </w:tc>
        <w:tc>
          <w:tcPr>
            <w:tcW w:w="2657" w:type="dxa"/>
            <w:gridSpan w:val="2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  <w:spacing w:val="-4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</w:rPr>
              <w:t>公共管理与公共服务用地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vMerge w:val="continue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Ⅰ级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2172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144.80 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1107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73.80 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336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22.40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582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38.80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Ⅱ级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1140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76.00 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813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54.20 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295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19.67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390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26.00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Ⅲ级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772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51.47 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528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35.20 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266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17.73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345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23.00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Ⅳ级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630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42.00 </w:t>
            </w:r>
          </w:p>
        </w:tc>
        <w:tc>
          <w:tcPr>
            <w:tcW w:w="796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390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26.00 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216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14.40 </w:t>
            </w:r>
          </w:p>
        </w:tc>
        <w:tc>
          <w:tcPr>
            <w:tcW w:w="1282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312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20.80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0" w:hRule="atLeast"/>
          <w:jc w:val="center"/>
        </w:trPr>
        <w:tc>
          <w:tcPr>
            <w:tcW w:w="8342" w:type="dxa"/>
            <w:gridSpan w:val="9"/>
            <w:shd w:val="clear" w:color="auto" w:fill="auto"/>
            <w:noWrap/>
            <w:vAlign w:val="center"/>
          </w:tcPr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使用说明：</w:t>
            </w:r>
          </w:p>
          <w:p>
            <w:pPr>
              <w:pStyle w:val="7"/>
              <w:numPr>
                <w:numId w:val="0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基准地价内涵：</w:t>
            </w:r>
          </w:p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①估价期日：2024年1月1日；</w:t>
            </w:r>
          </w:p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②容积率：商服用地设定容积率为1.0，住宅用地设定容积率为2.0，工业用地为1.0，公共管理与公共服务用地设定容积率为1.0；</w:t>
            </w:r>
          </w:p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③土地开发程度：商服、住宅、工业、公共管理与公共服务用地均为“五通一平”（ 宗地外通上水、通电、通路、通讯、通下水，宗地内场地平整）；</w:t>
            </w:r>
          </w:p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④土地使用年期：商服用地为40年，住宅用地为70年，工业用地和公共管理与公共服务用地为50年。</w:t>
            </w:r>
          </w:p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</w:rPr>
              <w:t>土地级别：各用途土地级别以《剑河县中心城区基准地价图》为准。</w:t>
            </w:r>
          </w:p>
        </w:tc>
      </w:tr>
    </w:tbl>
    <w:p>
      <w:pPr>
        <w:pStyle w:val="5"/>
        <w:spacing w:line="240" w:lineRule="atLeast"/>
        <w:rPr>
          <w:rFonts w:hint="eastAsia" w:ascii="仿宋_GB2312" w:hAnsi="仿宋_GB2312" w:eastAsia="仿宋_GB2312" w:cs="仿宋_GB2312"/>
        </w:rPr>
      </w:pPr>
    </w:p>
    <w:p>
      <w:pPr>
        <w:pStyle w:val="5"/>
        <w:spacing w:line="240" w:lineRule="atLeast"/>
      </w:pPr>
    </w:p>
    <w:p>
      <w:pPr>
        <w:pStyle w:val="5"/>
        <w:spacing w:line="240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1E9D4C-2552-4357-82A3-E79BE23C88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F190777-57A5-464E-AF7C-75A0321A83C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A2287F-B34A-4D67-A9C7-E2980A08B4D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D61D470-1F42-48AC-8AB5-73333E3060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YTRlMTJjZGM2NDI3MTY2ZjE4ODk1ZDM1OWJiZjkifQ=="/>
  </w:docVars>
  <w:rsids>
    <w:rsidRoot w:val="10722AE6"/>
    <w:rsid w:val="10722AE6"/>
    <w:rsid w:val="11D5234C"/>
    <w:rsid w:val="47AC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方正仿宋_GB2312" w:hAnsi="方正仿宋_GB2312" w:eastAsia="仿宋" w:cstheme="minorBid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0表标题"/>
    <w:basedOn w:val="6"/>
    <w:autoRedefine/>
    <w:qFormat/>
    <w:uiPriority w:val="0"/>
    <w:pPr>
      <w:tabs>
        <w:tab w:val="left" w:pos="8306"/>
      </w:tabs>
      <w:adjustRightInd w:val="0"/>
      <w:snapToGrid w:val="0"/>
      <w:spacing w:line="440" w:lineRule="exact"/>
    </w:pPr>
    <w:rPr>
      <w:rFonts w:ascii="Times New Roman" w:hAnsi="Times New Roman" w:eastAsia="黑体"/>
      <w:bCs w:val="0"/>
      <w:sz w:val="24"/>
      <w:szCs w:val="21"/>
    </w:rPr>
  </w:style>
  <w:style w:type="paragraph" w:customStyle="1" w:styleId="6">
    <w:name w:val="图"/>
    <w:basedOn w:val="1"/>
    <w:autoRedefine/>
    <w:qFormat/>
    <w:uiPriority w:val="0"/>
    <w:pPr>
      <w:spacing w:line="240" w:lineRule="atLeast"/>
      <w:jc w:val="center"/>
    </w:pPr>
    <w:rPr>
      <w:rFonts w:ascii="仿宋_GB2312" w:hAnsi="宋体"/>
      <w:bCs/>
      <w:szCs w:val="28"/>
    </w:rPr>
  </w:style>
  <w:style w:type="paragraph" w:customStyle="1" w:styleId="7">
    <w:name w:val="0表格"/>
    <w:basedOn w:val="8"/>
    <w:autoRedefine/>
    <w:qFormat/>
    <w:uiPriority w:val="0"/>
    <w:pPr>
      <w:jc w:val="center"/>
    </w:pPr>
    <w:rPr>
      <w:rFonts w:ascii="Times New Roman" w:eastAsiaTheme="minorEastAsia"/>
      <w:sz w:val="24"/>
    </w:rPr>
  </w:style>
  <w:style w:type="paragraph" w:customStyle="1" w:styleId="8">
    <w:name w:val="biao"/>
    <w:basedOn w:val="1"/>
    <w:autoRedefine/>
    <w:qFormat/>
    <w:uiPriority w:val="0"/>
    <w:pPr>
      <w:spacing w:line="240" w:lineRule="atLeast"/>
    </w:pPr>
    <w:rPr>
      <w:rFonts w:ascii="仿宋_GB2312" w:eastAsia="仿宋_GB2312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2024-05-08T00:56:00Z</dcterms:created>
  <dc:creator>Zgc </dc:creator>
  <cp:lastModifiedBy>Zgc </cp:lastModifiedBy>
  <dcterms:modified xsi:type="dcterms:W3CDTF">2024-05-08T01:13:27Z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5DE18F9A23C54D3CB12CD58103CB2405_11</vt:lpwstr>
  </property>
</Properties>
</file>