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4</w:t>
      </w:r>
      <w:r>
        <w:rPr>
          <w:rFonts w:hint="eastAsia"/>
          <w:sz w:val="32"/>
          <w:szCs w:val="32"/>
        </w:rPr>
        <w:t xml:space="preserve"> </w:t>
      </w:r>
      <w: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4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2024年剑河县各乡镇划拨基准地价表</w:t>
      </w:r>
    </w:p>
    <w:p>
      <w:pPr>
        <w:pStyle w:val="2"/>
        <w:rPr>
          <w:rFonts w:hint="eastAsia"/>
        </w:rPr>
      </w:pP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1915"/>
        <w:gridCol w:w="668"/>
        <w:gridCol w:w="694"/>
        <w:gridCol w:w="669"/>
        <w:gridCol w:w="814"/>
        <w:gridCol w:w="809"/>
        <w:gridCol w:w="676"/>
        <w:gridCol w:w="856"/>
        <w:gridCol w:w="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tblHeader/>
        </w:trPr>
        <w:tc>
          <w:tcPr>
            <w:tcW w:w="1500" w:type="pct"/>
            <w:gridSpan w:val="2"/>
            <w:vMerge w:val="restart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27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auto"/>
              </w:rPr>
              <w:t>用途</w:t>
            </w:r>
          </w:p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</w:p>
          <w:p>
            <w:pPr>
              <w:pStyle w:val="7"/>
              <w:spacing w:line="270" w:lineRule="exact"/>
              <w:ind w:firstLine="480" w:firstLineChars="200"/>
              <w:jc w:val="lef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乡镇类别</w:t>
            </w: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商服用地</w:t>
            </w:r>
          </w:p>
        </w:tc>
        <w:tc>
          <w:tcPr>
            <w:tcW w:w="886" w:type="pct"/>
            <w:gridSpan w:val="2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住宅用地</w:t>
            </w:r>
          </w:p>
        </w:tc>
        <w:tc>
          <w:tcPr>
            <w:tcW w:w="887" w:type="pct"/>
            <w:gridSpan w:val="2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工业用地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公共管理与公共服务用地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6" w:hRule="atLeast"/>
          <w:tblHeader/>
        </w:trPr>
        <w:tc>
          <w:tcPr>
            <w:tcW w:w="1500" w:type="pct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414" w:type="pct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  <w:tc>
          <w:tcPr>
            <w:tcW w:w="483" w:type="pct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  <w:tc>
          <w:tcPr>
            <w:tcW w:w="511" w:type="pct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元/平方米</w:t>
            </w:r>
          </w:p>
        </w:tc>
        <w:tc>
          <w:tcPr>
            <w:tcW w:w="398" w:type="pct"/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万元/亩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0" w:hRule="atLeast"/>
        </w:trPr>
        <w:tc>
          <w:tcPr>
            <w:tcW w:w="355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一类乡镇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岑松镇（含屯州工业园区）、柳川镇、仰阿莎街道（纳入中心城区定级范围以外区域）、革东镇（纳入中心城区定级范围以外区域）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397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26.47 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238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15.87 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125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8.33 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190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12.67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1" w:hRule="atLeast"/>
        </w:trPr>
        <w:tc>
          <w:tcPr>
            <w:tcW w:w="355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二类乡镇</w:t>
            </w:r>
          </w:p>
        </w:tc>
        <w:tc>
          <w:tcPr>
            <w:tcW w:w="1145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南明镇、南加镇、南哨镇、南寨镇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377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25.13 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222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14.80 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119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7.93 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176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11.73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3" w:hRule="atLeast"/>
        </w:trPr>
        <w:tc>
          <w:tcPr>
            <w:tcW w:w="355" w:type="pc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三类乡镇</w:t>
            </w:r>
          </w:p>
        </w:tc>
        <w:tc>
          <w:tcPr>
            <w:tcW w:w="1145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太拥镇、观么镇、磻溪镇、敏洞乡、久仰镇</w:t>
            </w:r>
          </w:p>
        </w:tc>
        <w:tc>
          <w:tcPr>
            <w:tcW w:w="399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328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21.87 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166</w:t>
            </w:r>
          </w:p>
        </w:tc>
        <w:tc>
          <w:tcPr>
            <w:tcW w:w="486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11.07 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99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6.60 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160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>
            <w:pPr>
              <w:pStyle w:val="7"/>
              <w:spacing w:line="27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10.67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4" w:hRule="atLeast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使用说明：</w:t>
            </w:r>
          </w:p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估价期日：2024年1月1日；</w:t>
            </w:r>
          </w:p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容积率：商服用地设定容积率为1.0，住宅用地设定容积率为2.0，工业用地为1.0，公共管理与公共服务用地设定容积率为1.0；</w:t>
            </w:r>
          </w:p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土地开发程度：商服、住宅、工业、公共管理与公共服务用地均为“三通一平”（ 宗地外通上水、通电、通路，宗地内场地平整）；</w:t>
            </w:r>
          </w:p>
          <w:p>
            <w:pPr>
              <w:pStyle w:val="7"/>
              <w:jc w:val="left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土地使用年期：无年期限制。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YTRlMTJjZGM2NDI3MTY2ZjE4ODk1ZDM1OWJiZjkifQ=="/>
  </w:docVars>
  <w:rsids>
    <w:rsidRoot w:val="01FA40D5"/>
    <w:rsid w:val="01FA40D5"/>
    <w:rsid w:val="54B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方正仿宋_GB2312" w:hAnsi="方正仿宋_GB2312" w:eastAsia="仿宋" w:cstheme="minorBid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5">
    <w:name w:val="0表标题"/>
    <w:basedOn w:val="6"/>
    <w:autoRedefine/>
    <w:qFormat/>
    <w:uiPriority w:val="0"/>
    <w:pPr>
      <w:tabs>
        <w:tab w:val="left" w:pos="8306"/>
      </w:tabs>
      <w:adjustRightInd w:val="0"/>
      <w:snapToGrid w:val="0"/>
      <w:spacing w:line="440" w:lineRule="exact"/>
    </w:pPr>
    <w:rPr>
      <w:rFonts w:ascii="Times New Roman" w:hAnsi="Times New Roman" w:eastAsia="黑体"/>
      <w:bCs w:val="0"/>
      <w:sz w:val="24"/>
      <w:szCs w:val="21"/>
    </w:rPr>
  </w:style>
  <w:style w:type="paragraph" w:customStyle="1" w:styleId="6">
    <w:name w:val="图"/>
    <w:basedOn w:val="1"/>
    <w:autoRedefine/>
    <w:qFormat/>
    <w:uiPriority w:val="0"/>
    <w:pPr>
      <w:spacing w:line="240" w:lineRule="atLeast"/>
      <w:jc w:val="center"/>
    </w:pPr>
    <w:rPr>
      <w:rFonts w:ascii="仿宋_GB2312" w:hAnsi="宋体"/>
      <w:bCs/>
      <w:szCs w:val="28"/>
    </w:rPr>
  </w:style>
  <w:style w:type="paragraph" w:customStyle="1" w:styleId="7">
    <w:name w:val="0表格"/>
    <w:basedOn w:val="8"/>
    <w:autoRedefine/>
    <w:qFormat/>
    <w:uiPriority w:val="0"/>
    <w:pPr>
      <w:jc w:val="center"/>
    </w:pPr>
    <w:rPr>
      <w:rFonts w:ascii="Times New Roman" w:eastAsiaTheme="minorEastAsia"/>
      <w:sz w:val="24"/>
    </w:rPr>
  </w:style>
  <w:style w:type="paragraph" w:customStyle="1" w:styleId="8">
    <w:name w:val="biao"/>
    <w:basedOn w:val="1"/>
    <w:autoRedefine/>
    <w:qFormat/>
    <w:uiPriority w:val="0"/>
    <w:pPr>
      <w:spacing w:line="240" w:lineRule="atLeast"/>
    </w:pPr>
    <w:rPr>
      <w:rFonts w:ascii="仿宋_GB2312" w:eastAsia="仿宋_GB2312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2024-05-08T00:57:00Z</dcterms:created>
  <dc:creator>Zgc </dc:creator>
  <cp:lastModifiedBy>Zgc </cp:lastModifiedBy>
  <dcterms:modified xsi:type="dcterms:W3CDTF">2024-05-08T01:15:01Z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E69021F1C59049DFA7E795D5D81A37F8_11</vt:lpwstr>
  </property>
</Properties>
</file>